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94" w:rsidRDefault="002246C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46CE"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 w:rsidRPr="002246CE">
        <w:rPr>
          <w:rFonts w:ascii="Times New Roman" w:hAnsi="Times New Roman" w:cs="Times New Roman"/>
          <w:b/>
          <w:sz w:val="28"/>
          <w:szCs w:val="28"/>
        </w:rPr>
        <w:t xml:space="preserve"> М.Н. Методика ХНП 3 11.05.2020</w:t>
      </w:r>
    </w:p>
    <w:p w:rsidR="002246CE" w:rsidRDefault="002246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Лекция: Обработка и аранжировка народной песни.</w:t>
      </w:r>
    </w:p>
    <w:p w:rsidR="002246CE" w:rsidRPr="002246CE" w:rsidRDefault="002246CE">
      <w:pPr>
        <w:rPr>
          <w:rFonts w:ascii="Times New Roman" w:hAnsi="Times New Roman" w:cs="Times New Roman"/>
          <w:sz w:val="28"/>
          <w:szCs w:val="28"/>
        </w:rPr>
      </w:pPr>
      <w:r w:rsidRPr="002246CE">
        <w:rPr>
          <w:rFonts w:ascii="Times New Roman" w:hAnsi="Times New Roman" w:cs="Times New Roman"/>
          <w:sz w:val="28"/>
          <w:szCs w:val="28"/>
        </w:rPr>
        <w:t>Различие между обработкой и аранжировкой. История возникновения жанра обработки для народного хора. Творчество В. Захарова. Типы и виды обработки. Аранжировка – как способ освоения фольклорного материала.</w:t>
      </w:r>
    </w:p>
    <w:p w:rsidR="002246CE" w:rsidRPr="002246CE" w:rsidRDefault="002246CE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246C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Практическая работа. Анализ обработок для народного хора и определение типа и вида. </w:t>
      </w:r>
      <w:bookmarkStart w:id="0" w:name="_GoBack"/>
      <w:bookmarkEnd w:id="0"/>
    </w:p>
    <w:sectPr w:rsidR="002246CE" w:rsidRPr="0022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69"/>
    <w:rsid w:val="00157F94"/>
    <w:rsid w:val="002246CE"/>
    <w:rsid w:val="0081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D7A9"/>
  <w15:chartTrackingRefBased/>
  <w15:docId w15:val="{E0350A52-5F83-43C0-B398-194E70B3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2020-05-11T11:30:00Z</dcterms:created>
  <dcterms:modified xsi:type="dcterms:W3CDTF">2020-05-11T11:37:00Z</dcterms:modified>
</cp:coreProperties>
</file>