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B6" w:rsidRPr="00853A8F" w:rsidRDefault="007F20B6" w:rsidP="007F20B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7F20B6" w:rsidRPr="00853A8F" w:rsidRDefault="007F20B6" w:rsidP="007F20B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7F20B6" w:rsidRPr="00853A8F" w:rsidTr="00AE7424">
        <w:trPr>
          <w:trHeight w:hRule="exact" w:val="320"/>
        </w:trPr>
        <w:tc>
          <w:tcPr>
            <w:tcW w:w="3572" w:type="dxa"/>
            <w:vAlign w:val="center"/>
          </w:tcPr>
          <w:p w:rsidR="007F20B6" w:rsidRPr="00853A8F" w:rsidRDefault="007F20B6" w:rsidP="00AE7424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7F20B6" w:rsidRPr="00853A8F" w:rsidRDefault="007F20B6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Элементарная теория музыки</w:t>
            </w:r>
          </w:p>
        </w:tc>
      </w:tr>
      <w:tr w:rsidR="007F20B6" w:rsidRPr="00853A8F" w:rsidTr="00AE7424">
        <w:trPr>
          <w:trHeight w:hRule="exact" w:val="1347"/>
        </w:trPr>
        <w:tc>
          <w:tcPr>
            <w:tcW w:w="3572" w:type="dxa"/>
            <w:vAlign w:val="center"/>
          </w:tcPr>
          <w:p w:rsidR="007F20B6" w:rsidRPr="00853A8F" w:rsidRDefault="007F20B6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7F20B6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7F20B6" w:rsidRPr="00853A8F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7F20B6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7F20B6" w:rsidRPr="00853A8F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53.02.07   Теория музыки</w:t>
            </w:r>
          </w:p>
          <w:p w:rsidR="007F20B6" w:rsidRPr="00853A8F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7F20B6" w:rsidRPr="00853A8F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7F20B6" w:rsidRPr="00853A8F" w:rsidTr="00AE7424">
        <w:trPr>
          <w:trHeight w:hRule="exact" w:val="369"/>
        </w:trPr>
        <w:tc>
          <w:tcPr>
            <w:tcW w:w="3572" w:type="dxa"/>
            <w:vAlign w:val="center"/>
          </w:tcPr>
          <w:p w:rsidR="007F20B6" w:rsidRPr="00853A8F" w:rsidRDefault="007F20B6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7F20B6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4.05, 8.05, 11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F20B6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20B6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20B6" w:rsidRPr="00853A8F" w:rsidRDefault="007F20B6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F20B6" w:rsidRDefault="007F20B6" w:rsidP="007F20B6"/>
    <w:p w:rsidR="007F20B6" w:rsidRDefault="007F20B6" w:rsidP="007F20B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F141C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Мелодия. Мелизмы. Аббревиатуры.</w:t>
      </w:r>
    </w:p>
    <w:p w:rsidR="00F141C6" w:rsidRPr="00F141C6" w:rsidRDefault="00F141C6" w:rsidP="00F141C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141C6">
        <w:rPr>
          <w:rFonts w:ascii="Times New Roman" w:eastAsia="Calibri" w:hAnsi="Times New Roman" w:cs="Times New Roman"/>
          <w:b/>
          <w:sz w:val="32"/>
          <w:szCs w:val="32"/>
        </w:rPr>
        <w:t>Мелодия</w:t>
      </w:r>
    </w:p>
    <w:p w:rsidR="00F141C6" w:rsidRPr="00F141C6" w:rsidRDefault="00F141C6" w:rsidP="00F141C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141C6">
        <w:rPr>
          <w:rFonts w:ascii="Times New Roman" w:eastAsia="Calibri" w:hAnsi="Times New Roman" w:cs="Times New Roman"/>
          <w:b/>
          <w:sz w:val="32"/>
          <w:szCs w:val="32"/>
        </w:rPr>
        <w:t>Неаккордовые звуки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i/>
          <w:lang w:eastAsia="ru-RU"/>
        </w:rPr>
        <w:t xml:space="preserve">Неаккордовыми 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звуками называются такие, которые звучат на фоне данного аккорда, но не входят в него (то есть в его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терцовую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структуру).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Различают четыре вида неаккордовых звуков: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задержания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 xml:space="preserve">проходящие 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звуки,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вспомогательные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звуки и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предъёмы</w:t>
      </w:r>
      <w:r w:rsidRPr="00F141C6">
        <w:rPr>
          <w:rFonts w:ascii="Times New Roman" w:eastAsia="Times New Roman" w:hAnsi="Times New Roman" w:cs="Times New Roman"/>
          <w:lang w:eastAsia="ru-RU"/>
        </w:rPr>
        <w:t>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Задержания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Задержание – единственный из неаккордовых звуков, который звучит на более сильной доле, чем его разрешение. Задержания могут быть приготовленными и неприготовленными. Приготовленное задержание – звук, оставшийся от предыдущего аккорда в том же голосе на той же высоте и являющийся неаккордовым для данной гармонии.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  <w:t xml:space="preserve">В. Моцарт. Соната </w:t>
      </w:r>
      <w:r w:rsidRPr="00F141C6">
        <w:rPr>
          <w:rFonts w:ascii="Times New Roman" w:eastAsia="Times New Roman" w:hAnsi="Times New Roman" w:cs="Times New Roman"/>
          <w:b/>
          <w:lang w:val="en-US" w:eastAsia="ru-RU"/>
        </w:rPr>
        <w:t>c</w:t>
      </w:r>
      <w:r w:rsidRPr="00F141C6">
        <w:rPr>
          <w:rFonts w:ascii="Times New Roman" w:eastAsia="Times New Roman" w:hAnsi="Times New Roman" w:cs="Times New Roman"/>
          <w:b/>
          <w:lang w:eastAsia="ru-RU"/>
        </w:rPr>
        <w:t>-</w:t>
      </w:r>
      <w:r w:rsidRPr="00F141C6">
        <w:rPr>
          <w:rFonts w:ascii="Times New Roman" w:eastAsia="Times New Roman" w:hAnsi="Times New Roman" w:cs="Times New Roman"/>
          <w:b/>
          <w:lang w:val="en-US" w:eastAsia="ru-RU"/>
        </w:rPr>
        <w:t>moll</w:t>
      </w:r>
      <w:r w:rsidRPr="00F141C6">
        <w:rPr>
          <w:rFonts w:ascii="Times New Roman" w:eastAsia="Times New Roman" w:hAnsi="Times New Roman" w:cs="Times New Roman"/>
          <w:b/>
          <w:lang w:eastAsia="ru-RU"/>
        </w:rPr>
        <w:t xml:space="preserve">, ч. </w:t>
      </w:r>
      <w:r w:rsidRPr="00F141C6">
        <w:rPr>
          <w:rFonts w:ascii="Times New Roman" w:eastAsia="Times New Roman" w:hAnsi="Times New Roman" w:cs="Times New Roman"/>
          <w:b/>
          <w:lang w:val="en-US" w:eastAsia="ru-RU"/>
        </w:rPr>
        <w:t>IV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171950" cy="1133475"/>
            <wp:effectExtent l="0" t="0" r="0" b="9525"/>
            <wp:docPr id="42" name="Рисунок 42" descr="11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115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 приведенном образце звездочками отмечены задержания; наиболее ярко они выражены в 4, 6, 7-м и 8-м тактах. В 8-м такте, кроме задержания в верхнем голосе, одновременно использовано задержание и в среднем, в результате чего образовалось так называемое двойное задержание.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Неприготовленное задержание может быть введено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поступенным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движением, либо вспомогательным или скачковым. Неприготовленное задержание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может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как входить в состав предыдущего аккорда в другом голосе на другой высоте, так и  не входить в состав предыдущей гармонии. 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Задержания в двух или трех голосах называются двойными или тройными. 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648325" cy="27241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Проходящие звуки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         Проходящим называется звук, взятый на слабом времени и помещенный между двумя аккордовыми звуками разной высоты.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Проходящие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могут быть диатоническими и хроматическими; двойными и тройными (в двух или трех голосах).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343525" cy="14192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Вспомогательные звуки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         Вспомогательные звуки делятся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вспомогательные прилегающие; вспомогательные взятые скачком; вспомогательные покинутые скачком (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камбиаты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). Вспомогательный прилегающий – неаккордовый звук, введенный на слабом времени и помещенный между двумя аккордовыми одинаковой высоты.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Вспомогательный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взятый скачком помещается между аккордовыми звуками разной высоты. Вспомогательный покинутый скачком – неаккордовый звук, введенный плавно и не получивший разрешения.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Вспомогательные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могут быть диатоническими и хроматическими; двойными и тройными (в двух или трех голосах).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72150" cy="17240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Предъём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Предъёмом называется неаккордовый звук на слабом времени, предвосхищающий появление одного из аккордовых тонов следующего аккорда.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276850" cy="15525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Неаккордовые звуки могут появляться не только в верхнем, но и в средних голосах, а также в басу.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В примере 332 (из сонаты В. Моцарта) уже имело место задержание, взятое в среднем голосе. Чем больше неаккордовых звуков в средних голосах, тем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более мелодически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развитыми оказываются эти голоса. Так, например, в репризе Баркаролы П. Чайковского из цикла «Времена года» один из средних голосов сопровождения, изобилующий неаккордовыми звуками, настолько мелодически рельефен, что можно говорить об одновременном звучании двух мелодий: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ab/>
        <w:t>П</w:t>
      </w:r>
      <w:r w:rsidRPr="00F141C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>Чайковский</w:t>
      </w:r>
      <w:r w:rsidRPr="00F141C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>Времена года, Баркарола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076700" cy="1152525"/>
            <wp:effectExtent l="0" t="0" r="0" b="9525"/>
            <wp:docPr id="37" name="Рисунок 37" descr="1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116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429125" cy="1152525"/>
            <wp:effectExtent l="0" t="0" r="9525" b="9525"/>
            <wp:docPr id="36" name="Рисунок 36" descr="1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116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Таким образом, создается своего рода «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дуэтность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»,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вносящая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в гомофонную фактуру элемент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полифоничности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.</w:t>
      </w:r>
    </w:p>
    <w:p w:rsidR="00F141C6" w:rsidRPr="00F141C6" w:rsidRDefault="00F141C6" w:rsidP="00F141C6">
      <w:pPr>
        <w:jc w:val="center"/>
        <w:rPr>
          <w:rFonts w:ascii="Times New Roman" w:eastAsia="Calibri" w:hAnsi="Times New Roman" w:cs="Times New Roman"/>
        </w:rPr>
      </w:pPr>
      <w:r w:rsidRPr="00F141C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Мелизмы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В музыкальной практике издавна установились характерные краткие мелодические обороты, зашифровываемые определенными знаками, так называемые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 xml:space="preserve">мелизмы.*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[От </w:t>
      </w:r>
      <w:r w:rsidRPr="00F141C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греч. </w:t>
      </w:r>
      <w:proofErr w:type="spellStart"/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melos</w:t>
      </w:r>
      <w:proofErr w:type="spellEnd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что означает мелос, песня, мелодия</w:t>
      </w:r>
      <w:proofErr w:type="gramStart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.]</w:t>
      </w:r>
      <w:proofErr w:type="gramEnd"/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. Одно из основных назначений мелизмов — украшение мелодии звуковой орнаментикой. Другое — как бы продление быстро затухающего звука клавесина. 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Мелизмы сформировались в процессе исторического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развития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как в профессиональной музыке, так и в народном творчестве и встречаются во всех музыкальных культурах с самых отдаленных времен. Мелизмы встречаются уже в ранних памятниках средневековой музыкальной письменности – в  византийских и григорианских напевах. С развитием инструментальной музыки они получили дальнейшее распространение. 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Начиная с середины 17 века они широко используются композиторами Франции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Куперен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, Рамо), Италии (А.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Скарлатти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Корелли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, Вивальди,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Тартини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), Англии (Берд, Булл), Германии (И.С. Бах,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Ф.Э.Бах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), венскими классиками.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Одно из основных назначений мелизмов — украшение мелодии звуковой орнаментикой, подчеркивание отдельных тонов мелодии путем их обыгрывания и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опевания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, что придает живость мелодическому движению. Другое — как бы продление быстро затухающего звука клавесина. Важнейшие виды мелизмов, сохранившие свое значение и в музыке последующих столетий: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форшлаг, мордент, группетто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трель</w:t>
      </w:r>
      <w:r w:rsidRPr="00F141C6">
        <w:rPr>
          <w:rFonts w:ascii="Times New Roman" w:eastAsia="Times New Roman" w:hAnsi="Times New Roman" w:cs="Times New Roman"/>
          <w:lang w:eastAsia="ru-RU"/>
        </w:rPr>
        <w:t>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Форшлаг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Слово «форшлаг» </w:t>
      </w:r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 xml:space="preserve">(нем.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vor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 — пред,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schlag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 — удар) означает звук, предшествующий основному, «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предудар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». Различают два вида форшлага — долгий (Неперечеркнутый) и короткий (перечеркнутый). Обозначается форшлаг мелкой ноткой обычно меньшей длительности, чем основной звук, перед которым он записан: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47950" cy="409575"/>
            <wp:effectExtent l="0" t="0" r="0" b="9525"/>
            <wp:docPr id="35" name="Рисунок 35" descr="1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116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Долгий форшлаг (неперечёркнутый) представляет собой задержание—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ни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>сходящее или восходящее, разрешением которого является основной звук. Он исполняется всегда за счет длительности основного звука, отнимая половину длительности двухдольного или две трети трехдольного звука: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552825" cy="571500"/>
            <wp:effectExtent l="0" t="0" r="9525" b="0"/>
            <wp:docPr id="34" name="Рисунок 34" descr="1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117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Короткий (перечеркнутый) форшлаг исполняется за счет длительности предыдущего звука, отнимая от него минимальную часть его длительности: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noProof/>
          <w:sz w:val="18"/>
          <w:szCs w:val="18"/>
          <w:lang w:eastAsia="ru-RU"/>
        </w:rPr>
        <w:drawing>
          <wp:inline distT="0" distB="0" distL="0" distR="0">
            <wp:extent cx="3009900" cy="542925"/>
            <wp:effectExtent l="0" t="0" r="0" b="9525"/>
            <wp:docPr id="33" name="Рисунок 33" descr="1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117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Отнимаемая от предыдущего звука длительность точно не регламентирована; короткий форшлаг, данный в предшествующем примере, может быть исполнен и так: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>
            <wp:extent cx="2114550" cy="428625"/>
            <wp:effectExtent l="0" t="0" r="0" b="9525"/>
            <wp:docPr id="32" name="Рисунок 32" descr="1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117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Иногда короткий форшлаг включает в себя не один, а два, три, реже — большее число звуков, обозначаемых мелкими неперечеркнутыми нотками: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428875" cy="504825"/>
            <wp:effectExtent l="0" t="0" r="9525" b="9525"/>
            <wp:docPr id="31" name="Рисунок 31" descr="1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117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Мордент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lastRenderedPageBreak/>
        <w:t xml:space="preserve">Мелодическая фигура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мордент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 xml:space="preserve">(итал.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mordente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, буквально — кусающий, острый) представляет собой оборот из трех звуков: основного, вспомогательного и основного. Мордент исполняется всегда только за счет длительности основного звука, причем меньшая часть начала длительности приходится на первый и второй звуки, большая часть (не менее половины длительности) — на третий звук: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076575" cy="523875"/>
            <wp:effectExtent l="0" t="0" r="9525" b="9525"/>
            <wp:docPr id="30" name="Рисунок 30" descr="1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117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 примере приведен неперечеркнутый мордент. Перечеркнутый отличается тем, что в нем участвует не верхний, а нижний вспомогательный звук: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175" cy="409575"/>
            <wp:effectExtent l="0" t="0" r="9525" b="9525"/>
            <wp:docPr id="29" name="Рисунок 29" descr="1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117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Кроме простого мордента используется и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двойной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>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2066925" cy="542925"/>
            <wp:effectExtent l="0" t="0" r="9525" b="9525"/>
            <wp:docPr id="28" name="Рисунок 28" descr="11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117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Знак альтерации, стоящий над или под знаком мордента, относится к вспомогательному звуку: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171950" cy="600075"/>
            <wp:effectExtent l="0" t="0" r="0" b="9525"/>
            <wp:docPr id="27" name="Рисунок 27" descr="117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117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Группетто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Группетто – уменьшительное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итальянского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gruppa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gruppetto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).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Эта мелодическая фигура представляет собой группу из четырех или пяти звуков, состоящую из основного звука и вспомогательных (верхнего и нижнего).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Четырехзвучное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 начинается с верхнего вспомогательного, за которым следуют основной звук, затем нижний вспомогательный и опять основной:</w:t>
      </w:r>
      <w:proofErr w:type="gramEnd"/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38250" cy="409575"/>
            <wp:effectExtent l="0" t="0" r="0" b="9525"/>
            <wp:docPr id="26" name="Рисунок 26" descr="11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117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41C6">
        <w:rPr>
          <w:rFonts w:ascii="Times New Roman" w:eastAsia="Times New Roman" w:hAnsi="Times New Roman" w:cs="Times New Roman"/>
          <w:bCs/>
          <w:lang w:eastAsia="ru-RU"/>
        </w:rPr>
        <w:t>В произведениях композиторов конца 17 – первой половины 18 веков (</w:t>
      </w:r>
      <w:proofErr w:type="spellStart"/>
      <w:r w:rsidRPr="00F141C6">
        <w:rPr>
          <w:rFonts w:ascii="Times New Roman" w:eastAsia="Times New Roman" w:hAnsi="Times New Roman" w:cs="Times New Roman"/>
          <w:bCs/>
          <w:lang w:eastAsia="ru-RU"/>
        </w:rPr>
        <w:t>И.С.Бах</w:t>
      </w:r>
      <w:proofErr w:type="spellEnd"/>
      <w:r w:rsidRPr="00F141C6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F141C6">
        <w:rPr>
          <w:rFonts w:ascii="Times New Roman" w:eastAsia="Times New Roman" w:hAnsi="Times New Roman" w:cs="Times New Roman"/>
          <w:bCs/>
          <w:lang w:eastAsia="ru-RU"/>
        </w:rPr>
        <w:t>Ф.Э.Бах</w:t>
      </w:r>
      <w:proofErr w:type="spellEnd"/>
      <w:r w:rsidRPr="00F141C6">
        <w:rPr>
          <w:rFonts w:ascii="Times New Roman" w:eastAsia="Times New Roman" w:hAnsi="Times New Roman" w:cs="Times New Roman"/>
          <w:bCs/>
          <w:lang w:eastAsia="ru-RU"/>
        </w:rPr>
        <w:t>, французские композиторы-</w:t>
      </w:r>
      <w:proofErr w:type="spellStart"/>
      <w:r w:rsidRPr="00F141C6">
        <w:rPr>
          <w:rFonts w:ascii="Times New Roman" w:eastAsia="Times New Roman" w:hAnsi="Times New Roman" w:cs="Times New Roman"/>
          <w:bCs/>
          <w:lang w:eastAsia="ru-RU"/>
        </w:rPr>
        <w:t>клавесинисты</w:t>
      </w:r>
      <w:proofErr w:type="spellEnd"/>
      <w:r w:rsidRPr="00F141C6">
        <w:rPr>
          <w:rFonts w:ascii="Times New Roman" w:eastAsia="Times New Roman" w:hAnsi="Times New Roman" w:cs="Times New Roman"/>
          <w:bCs/>
          <w:lang w:eastAsia="ru-RU"/>
        </w:rPr>
        <w:t xml:space="preserve">) использовалось группетто из четырех </w:t>
      </w:r>
      <w:proofErr w:type="spellStart"/>
      <w:r w:rsidRPr="00F141C6">
        <w:rPr>
          <w:rFonts w:ascii="Times New Roman" w:eastAsia="Times New Roman" w:hAnsi="Times New Roman" w:cs="Times New Roman"/>
          <w:bCs/>
          <w:lang w:eastAsia="ru-RU"/>
        </w:rPr>
        <w:t>звувков</w:t>
      </w:r>
      <w:proofErr w:type="spellEnd"/>
      <w:r w:rsidRPr="00F141C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F141C6">
        <w:rPr>
          <w:rFonts w:ascii="Times New Roman" w:eastAsia="Times New Roman" w:hAnsi="Times New Roman" w:cs="Times New Roman"/>
          <w:bCs/>
          <w:lang w:eastAsia="ru-RU"/>
        </w:rPr>
        <w:t>Пятизвучное</w:t>
      </w:r>
      <w:proofErr w:type="spellEnd"/>
      <w:r w:rsidRPr="00F141C6">
        <w:rPr>
          <w:rFonts w:ascii="Times New Roman" w:eastAsia="Times New Roman" w:hAnsi="Times New Roman" w:cs="Times New Roman"/>
          <w:bCs/>
          <w:lang w:eastAsia="ru-RU"/>
        </w:rPr>
        <w:t xml:space="preserve"> группетто получило широкое </w:t>
      </w:r>
      <w:proofErr w:type="gramStart"/>
      <w:r w:rsidRPr="00F141C6">
        <w:rPr>
          <w:rFonts w:ascii="Times New Roman" w:eastAsia="Times New Roman" w:hAnsi="Times New Roman" w:cs="Times New Roman"/>
          <w:bCs/>
          <w:lang w:eastAsia="ru-RU"/>
        </w:rPr>
        <w:t>распространение</w:t>
      </w:r>
      <w:proofErr w:type="gramEnd"/>
      <w:r w:rsidRPr="00F141C6">
        <w:rPr>
          <w:rFonts w:ascii="Times New Roman" w:eastAsia="Times New Roman" w:hAnsi="Times New Roman" w:cs="Times New Roman"/>
          <w:bCs/>
          <w:lang w:eastAsia="ru-RU"/>
        </w:rPr>
        <w:t xml:space="preserve"> начиная со второй половины 18 века (Моцарт, Гайдн).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Пятизвучное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 начинается с основного звука, за которым следует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верхний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вспомогательный и далее — как в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четырехзвучном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71600" cy="504825"/>
            <wp:effectExtent l="0" t="0" r="0" b="9525"/>
            <wp:docPr id="25" name="Рисунок 25" descr="11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117j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Группетто обозначается знаком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61925" cy="104775"/>
            <wp:effectExtent l="0" t="0" r="9525" b="9525"/>
            <wp:docPr id="24" name="Рисунок 24" descr="11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117k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, который ставится либо над нотой, либо между двух нот. Знак, стоящий над нотой, может означать как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пятизвучное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, так и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четырехзвучное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группетто, исполняемое за счет длительности основного звука. Такое группетто занимает либо всю длительность основного звука, либо начальную часть этой длительности: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381500" cy="628650"/>
            <wp:effectExtent l="0" t="0" r="0" b="0"/>
            <wp:docPr id="23" name="Рисунок 23" descr="1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118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Знак, стоящий между двумя нотами, означает   либо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пятизвучное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группетто, занимающее всю длительность начального (основного) звука, либо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четырехзвучное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группетто, занимающее    конец длительности начального звука: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352925" cy="619125"/>
            <wp:effectExtent l="0" t="0" r="9525" b="9525"/>
            <wp:docPr id="22" name="Рисунок 22" descr="1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118b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Если знак стоит между двумя нотами одинаковой высоты, последний звук группетто приходится на длительность второго звука, как, например: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210050" cy="628650"/>
            <wp:effectExtent l="0" t="0" r="0" b="0"/>
            <wp:docPr id="21" name="Рисунок 21" descr="1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118c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Знаки альтерации, которые могут стоять над или под знаком группетто, относятся, соответственно, к верхнему или нижнему вспомогательным звукам:</w:t>
      </w:r>
      <w:proofErr w:type="gramEnd"/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162425" cy="666750"/>
            <wp:effectExtent l="0" t="0" r="9525" b="0"/>
            <wp:docPr id="20" name="Рисунок 20" descr="1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118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>Трель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Трель представляет собой быстрое чередование основного и верхнего вспомогательного звуков. Трель обозначается начальными буквами слова «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trillo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» (от </w:t>
      </w:r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 xml:space="preserve">итал.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trillare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 — дребезжать, колебать) — </w:t>
      </w:r>
      <w:proofErr w:type="spellStart"/>
      <w:r w:rsidRPr="00F141C6">
        <w:rPr>
          <w:rFonts w:ascii="Times New Roman" w:eastAsia="Times New Roman" w:hAnsi="Times New Roman" w:cs="Times New Roman"/>
          <w:i/>
          <w:iCs/>
          <w:lang w:val="en-US" w:eastAsia="ru-RU"/>
        </w:rPr>
        <w:t>tr</w:t>
      </w:r>
      <w:proofErr w:type="spellEnd"/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F141C6">
        <w:rPr>
          <w:rFonts w:ascii="Times New Roman" w:eastAsia="Times New Roman" w:hAnsi="Times New Roman" w:cs="Times New Roman"/>
          <w:lang w:eastAsia="ru-RU"/>
        </w:rPr>
        <w:t>которые ставятся всегда над нотой. Протяженность основного звука и определяет продолжительность трели: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476750" cy="619125"/>
            <wp:effectExtent l="0" t="0" r="0" b="9525"/>
            <wp:docPr id="19" name="Рисунок 19" descr="1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118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Скорость исполнения трели (в приведенном примере —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тридцатьвторыми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или шестнадцатыми) зависит от общего контекста, стиля произведения, темпа. Чередование звуков, образующих трель, может ускоряться или замедляться, пример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И.С.Бах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. ХТК Прелюдия </w:t>
      </w:r>
      <w:r w:rsidRPr="00F141C6">
        <w:rPr>
          <w:rFonts w:ascii="Times New Roman" w:eastAsia="Times New Roman" w:hAnsi="Times New Roman" w:cs="Times New Roman"/>
          <w:lang w:val="en-US" w:eastAsia="ru-RU"/>
        </w:rPr>
        <w:t>g</w:t>
      </w:r>
      <w:r w:rsidRPr="00F141C6">
        <w:rPr>
          <w:rFonts w:ascii="Times New Roman" w:eastAsia="Times New Roman" w:hAnsi="Times New Roman" w:cs="Times New Roman"/>
          <w:lang w:eastAsia="ru-RU"/>
        </w:rPr>
        <w:t>-</w:t>
      </w:r>
      <w:r w:rsidRPr="00F141C6">
        <w:rPr>
          <w:rFonts w:ascii="Times New Roman" w:eastAsia="Times New Roman" w:hAnsi="Times New Roman" w:cs="Times New Roman"/>
          <w:lang w:val="en-US" w:eastAsia="ru-RU"/>
        </w:rPr>
        <w:t>moll</w:t>
      </w:r>
      <w:r w:rsidRPr="00F141C6">
        <w:rPr>
          <w:rFonts w:ascii="Times New Roman" w:eastAsia="Times New Roman" w:hAnsi="Times New Roman" w:cs="Times New Roman"/>
          <w:lang w:eastAsia="ru-RU"/>
        </w:rPr>
        <w:t>. Если необходимо, чтобы трель начиналась со вспомогательного звука, то перед основным звуком выставляется этот вспомогательный, обозначенный знаком короткого форшлага. В данном случае этот знак указывает на вспомогательный звук, входящий в длительность основного: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2781300" cy="485775"/>
            <wp:effectExtent l="0" t="0" r="0" b="9525"/>
            <wp:docPr id="18" name="Рисунок 18" descr="1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118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В старинной музыке (по </w:t>
      </w:r>
      <w:r w:rsidRPr="00F141C6">
        <w:rPr>
          <w:rFonts w:ascii="Times New Roman" w:eastAsia="Times New Roman" w:hAnsi="Times New Roman" w:cs="Times New Roman"/>
          <w:lang w:val="en-US" w:eastAsia="ru-RU"/>
        </w:rPr>
        <w:t>XVIII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век включительно) в конце трели обычно вводился и нижний вспомогательный звук, образующий заключительный оборот, сходный с группетто. Этот заключительный оборот —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нахшлаг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proofErr w:type="gramStart"/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>нем</w:t>
      </w:r>
      <w:proofErr w:type="gramEnd"/>
      <w:r w:rsidRPr="00F141C6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  <w:proofErr w:type="spellStart"/>
      <w:r w:rsidRPr="00F141C6">
        <w:rPr>
          <w:rFonts w:ascii="Times New Roman" w:eastAsia="Times New Roman" w:hAnsi="Times New Roman" w:cs="Times New Roman"/>
          <w:lang w:val="en-US" w:eastAsia="ru-RU"/>
        </w:rPr>
        <w:t>Nachschlag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— последующий удар) — специально не отмечался в нотной записи, но предполагался в исполнении: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914775" cy="504825"/>
            <wp:effectExtent l="0" t="0" r="9525" b="9525"/>
            <wp:docPr id="17" name="Рисунок 17" descr="11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118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Примерно с середины </w:t>
      </w:r>
      <w:r w:rsidRPr="00F141C6">
        <w:rPr>
          <w:rFonts w:ascii="Times New Roman" w:eastAsia="Times New Roman" w:hAnsi="Times New Roman" w:cs="Times New Roman"/>
          <w:lang w:val="en-US" w:eastAsia="ru-RU"/>
        </w:rPr>
        <w:t>XIX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века и до настоящего времени исполнение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нахшлага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становится обязательным лишь в тех случаях, когда он специально обозначен в нотной записи в конце трели, как, например: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3895725" cy="504825"/>
            <wp:effectExtent l="0" t="0" r="9525" b="9525"/>
            <wp:docPr id="16" name="Рисунок 16" descr="118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118h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Выше были изложены основные принципы расшифровки мелизмов. Другие способы их расшифровки, применяемые иногда в конкретных стилистических условиях и связанные с исполнительскими традициями, обычно фиксируются в нотном тексте в виде редакторских примечаний.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 xml:space="preserve">Кроме перечисленных существуют и другие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мелизматические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фигуры, обозначаемые особыми знаками, имеющими большее или меньшее распространение лишь в определенных стилях.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Так, например, различные виды мелизмов, отличных от вышеописанных, можно встретить в произведениях И. С. Баха.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Характерно, что Бах, понимая, очевидно, не столь универсальное значение применяемых им мелизмов, сам дал образцы расшифровки этих мелизмов в «Клавирной книжечке Вильгельма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Фридемана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Баха».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 музыкальной литературе можно также встретить и различные сочетания мелизмов, образующие более длительные мелодические фигуры.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>§ 115. Знаки сокращения нотного письма (аббревиатуры)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Разобранные выше мелизмы (точнее — их обозначения) являются одним из видов знаков сокращения нотного письма. Существуют и другие знаки сокращения нотного письма или, как их называют, </w:t>
      </w:r>
      <w:r w:rsidRPr="00F141C6">
        <w:rPr>
          <w:rFonts w:ascii="Times New Roman" w:eastAsia="Times New Roman" w:hAnsi="Times New Roman" w:cs="Times New Roman"/>
          <w:i/>
          <w:lang w:eastAsia="ru-RU"/>
        </w:rPr>
        <w:t>аббревиатуры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[От лат.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ab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breviare</w:t>
      </w:r>
      <w:proofErr w:type="spellEnd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 — сокращать.]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Ряд аббревиатур связан с буквальным повторением какого-либо раздела произведения. К ним относятся знаки повторения: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lastRenderedPageBreak/>
        <w:drawing>
          <wp:inline distT="0" distB="0" distL="0" distR="0">
            <wp:extent cx="3600450" cy="447675"/>
            <wp:effectExtent l="0" t="0" r="0" b="9525"/>
            <wp:docPr id="15" name="Рисунок 15" descr="1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119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 xml:space="preserve">Первый, называемый репризой, означает, что весь отрезок произведения, заключенный между двойными чертами с точками, подлежит повторению. Если же при повторении конец данного отрезка изменяется (что обычно 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>бывает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 связано либо с переходом к дальнейшему развитию музыки, либо, наоборот, к окончанию пьесы), то в нотном тексте это обозначается специальными знаками, которые называются вольтами. Вольты изображаются горизонтальными квадратными скобками, охватывающими то количество тактов, которое при повторении содержит в себе какие-либо изменения. В левом углу скобки выставляется порядковый номер вольты: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lang w:eastAsia="ru-RU"/>
        </w:rPr>
        <w:tab/>
      </w:r>
      <w:r w:rsidRPr="00F141C6">
        <w:rPr>
          <w:rFonts w:ascii="Times New Roman" w:eastAsia="Times New Roman" w:hAnsi="Times New Roman" w:cs="Times New Roman"/>
          <w:b/>
          <w:bCs/>
          <w:lang w:eastAsia="ru-RU"/>
        </w:rPr>
        <w:t xml:space="preserve">Л. Бетховен. Соната № 18, ч. </w:t>
      </w:r>
      <w:r w:rsidRPr="00F141C6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4419600" cy="1181100"/>
            <wp:effectExtent l="0" t="0" r="0" b="0"/>
            <wp:docPr id="14" name="Рисунок 14" descr="1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119b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4352925" cy="1352550"/>
            <wp:effectExtent l="0" t="0" r="9525" b="0"/>
            <wp:docPr id="13" name="Рисунок 13" descr="1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119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4457700" cy="1438275"/>
            <wp:effectExtent l="0" t="0" r="0" b="9525"/>
            <wp:docPr id="12" name="Рисунок 12" descr="1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119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 приведенном примере при повторении вместо тактов, отмеченных первой вольтой, исполняется то, что отмечено второй вольтой, после чего следует развитие (см. последний такт и далее).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Второй из вышеприведенных знаков повторения</w:t>
      </w:r>
      <w:proofErr w:type="gramStart"/>
      <w:r w:rsidRPr="00F141C6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71450" cy="142875"/>
            <wp:effectExtent l="0" t="0" r="0" b="9525"/>
            <wp:docPr id="11" name="Рисунок 11" descr="119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119d_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gramEnd"/>
      <w:r w:rsidRPr="00F141C6">
        <w:rPr>
          <w:rFonts w:ascii="Times New Roman" w:eastAsia="Times New Roman" w:hAnsi="Times New Roman" w:cs="Times New Roman"/>
          <w:lang w:eastAsia="ru-RU"/>
        </w:rPr>
        <w:t xml:space="preserve">указывает на то, что во втором и третьем тактах точно повторяется мелодико-ритмическая фигура первого такта. Еще один способ повторения: в начале повтора выставляется знак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42875" cy="161925"/>
            <wp:effectExtent l="0" t="0" r="9525" b="9525"/>
            <wp:docPr id="10" name="Рисунок 10" descr="119d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119d_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1C6">
        <w:rPr>
          <w:rFonts w:ascii="Times New Roman" w:eastAsia="Times New Roman" w:hAnsi="Times New Roman" w:cs="Times New Roman"/>
          <w:lang w:eastAsia="ru-RU"/>
        </w:rPr>
        <w:t>, а в конце пишутся слова «</w:t>
      </w:r>
      <w:r w:rsidRPr="00F141C6">
        <w:rPr>
          <w:rFonts w:ascii="Times New Roman" w:eastAsia="Times New Roman" w:hAnsi="Times New Roman" w:cs="Times New Roman"/>
          <w:lang w:val="en-US" w:eastAsia="ru-RU"/>
        </w:rPr>
        <w:t>Dal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lang w:val="en-US" w:eastAsia="ru-RU"/>
        </w:rPr>
        <w:t>Segno</w:t>
      </w:r>
      <w:r w:rsidRPr="00F141C6">
        <w:rPr>
          <w:rFonts w:ascii="Times New Roman" w:eastAsia="Times New Roman" w:hAnsi="Times New Roman" w:cs="Times New Roman"/>
          <w:lang w:eastAsia="ru-RU"/>
        </w:rPr>
        <w:t>» или «</w:t>
      </w:r>
      <w:r w:rsidRPr="00F141C6">
        <w:rPr>
          <w:rFonts w:ascii="Times New Roman" w:eastAsia="Times New Roman" w:hAnsi="Times New Roman" w:cs="Times New Roman"/>
          <w:lang w:val="en-US" w:eastAsia="ru-RU"/>
        </w:rPr>
        <w:t>Dal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lang w:val="en-US" w:eastAsia="ru-RU"/>
        </w:rPr>
        <w:t>Segno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lang w:val="en-US" w:eastAsia="ru-RU"/>
        </w:rPr>
        <w:t>al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lang w:val="en-US" w:eastAsia="ru-RU"/>
        </w:rPr>
        <w:t>Fine</w:t>
      </w:r>
      <w:r w:rsidRPr="00F141C6">
        <w:rPr>
          <w:rFonts w:ascii="Times New Roman" w:eastAsia="Times New Roman" w:hAnsi="Times New Roman" w:cs="Times New Roman"/>
          <w:lang w:eastAsia="ru-RU"/>
        </w:rPr>
        <w:t xml:space="preserve">»*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[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Segno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</w:t>
      </w:r>
      <w:proofErr w:type="spellStart"/>
      <w:proofErr w:type="gramStart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ит</w:t>
      </w:r>
      <w:proofErr w:type="spellEnd"/>
      <w:proofErr w:type="gramEnd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переводится как «знак» (по-русски произносится «</w:t>
      </w:r>
      <w:proofErr w:type="spellStart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сеньо</w:t>
      </w:r>
      <w:proofErr w:type="spellEnd"/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»);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Dal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Segno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 — «от знака»;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Dal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Segno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al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Fine</w:t>
      </w:r>
      <w:r w:rsidRPr="00F141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 — «от знака до конца».]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Следующий знак указывает на необходимость многократного повторения отдельного звука или аккорда: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028950" cy="447675"/>
            <wp:effectExtent l="0" t="0" r="0" b="9525"/>
            <wp:docPr id="9" name="Рисунок 9" descr="11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119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Повторение двух звуков, при многократном и быстром чередовании образующее тремоло, обозначается следующим образом: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981325" cy="447675"/>
            <wp:effectExtent l="0" t="0" r="9525" b="9525"/>
            <wp:docPr id="8" name="Рисунок 8" descr="1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119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Удвоение в октаву обозначается цифрой 8, ставящейся над или под нотой (в зависимости от того, будет ли производиться удвоение в верхнюю или нижнюю октаву):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200400" cy="523875"/>
            <wp:effectExtent l="0" t="0" r="0" b="9525"/>
            <wp:docPr id="7" name="Рисунок 7" descr="11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119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141C6">
        <w:rPr>
          <w:rFonts w:ascii="Times New Roman" w:eastAsia="Times New Roman" w:hAnsi="Times New Roman" w:cs="Times New Roman"/>
          <w:lang w:eastAsia="ru-RU"/>
        </w:rPr>
        <w:t>Необходимость исполнения относительно протяженной мелодической линии (или партии какого-либо другого голоса) октавой выше или ниже обозначается цифрой 8, поставленной над или под нотоносцем, и пунктирной линией, идущей от цифры до того места, где исполнение октавой выше или ниже заканчивается:</w:t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990975" cy="504825"/>
            <wp:effectExtent l="0" t="0" r="9525" b="9525"/>
            <wp:docPr id="6" name="Рисунок 6" descr="119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119h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6" w:rsidRPr="00F141C6" w:rsidRDefault="00F141C6" w:rsidP="00F141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Многотактовая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 xml:space="preserve"> пауза (например, в оркестровых партиях) обычно — для экономии места — обозначается одним тактом, внутри которого находится горизонтальная черта, ограниченная по краям вертикальными черточками, с проставленной цифрой, указывающей количество пропускаемых (то есть </w:t>
      </w:r>
      <w:proofErr w:type="spellStart"/>
      <w:r w:rsidRPr="00F141C6">
        <w:rPr>
          <w:rFonts w:ascii="Times New Roman" w:eastAsia="Times New Roman" w:hAnsi="Times New Roman" w:cs="Times New Roman"/>
          <w:lang w:eastAsia="ru-RU"/>
        </w:rPr>
        <w:t>паузируемых</w:t>
      </w:r>
      <w:proofErr w:type="spellEnd"/>
      <w:r w:rsidRPr="00F141C6">
        <w:rPr>
          <w:rFonts w:ascii="Times New Roman" w:eastAsia="Times New Roman" w:hAnsi="Times New Roman" w:cs="Times New Roman"/>
          <w:lang w:eastAsia="ru-RU"/>
        </w:rPr>
        <w:t>) тактов:</w:t>
      </w:r>
    </w:p>
    <w:p w:rsidR="00F141C6" w:rsidRDefault="00F141C6" w:rsidP="00F141C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46"/>
          <w:szCs w:val="46"/>
          <w:lang w:eastAsia="ru-RU"/>
        </w:rPr>
        <w:drawing>
          <wp:inline distT="0" distB="0" distL="0" distR="0">
            <wp:extent cx="1266825" cy="504825"/>
            <wp:effectExtent l="0" t="0" r="9525" b="9525"/>
            <wp:docPr id="5" name="Рисунок 5" descr="11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119i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7A" w:rsidRDefault="00A1247A" w:rsidP="00A1247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материалы:</w:t>
      </w:r>
    </w:p>
    <w:p w:rsidR="00A1247A" w:rsidRPr="00164E9C" w:rsidRDefault="00A1247A" w:rsidP="00A124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6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Б., Мясоедов А. Элементарная теория музыки. М., 1986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47A" w:rsidRPr="00C62246" w:rsidRDefault="00A1247A" w:rsidP="00A124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Элементарная теория музыки.  М., 1985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47A" w:rsidRPr="00C62246" w:rsidRDefault="00A1247A" w:rsidP="00A1247A">
      <w:pPr>
        <w:keepNext/>
        <w:keepLines/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1247A" w:rsidRPr="00C62246" w:rsidRDefault="00A1247A" w:rsidP="00A1247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247A" w:rsidRPr="00C62246" w:rsidRDefault="00A1247A" w:rsidP="00A1247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A1247A" w:rsidRDefault="00A1247A" w:rsidP="00A1247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1.Прочитать тему</w:t>
      </w:r>
    </w:p>
    <w:p w:rsidR="00A1247A" w:rsidRDefault="00A1247A" w:rsidP="00A1247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2.Решить пробную экзаменационную работу</w:t>
      </w:r>
    </w:p>
    <w:p w:rsidR="00A1247A" w:rsidRDefault="00A1247A" w:rsidP="00A1247A">
      <w:pPr>
        <w:jc w:val="center"/>
        <w:rPr>
          <w:rFonts w:ascii="Times New Roman" w:hAnsi="Times New Roman" w:cs="Times New Roman"/>
          <w:sz w:val="32"/>
          <w:szCs w:val="32"/>
        </w:rPr>
      </w:pPr>
      <w:r w:rsidRPr="00894587">
        <w:rPr>
          <w:rFonts w:ascii="Times New Roman" w:hAnsi="Times New Roman" w:cs="Times New Roman"/>
          <w:sz w:val="32"/>
          <w:szCs w:val="32"/>
        </w:rPr>
        <w:t>Экзаменационная  работа</w:t>
      </w:r>
    </w:p>
    <w:p w:rsidR="00A1247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вверх хроматический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9458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8945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вниз </w:t>
      </w:r>
      <w:r w:rsidRPr="00894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B1E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B1EFD">
        <w:rPr>
          <w:rFonts w:ascii="Times New Roman" w:hAnsi="Times New Roman" w:cs="Times New Roman"/>
          <w:sz w:val="24"/>
          <w:szCs w:val="24"/>
        </w:rPr>
        <w:t xml:space="preserve"> </w:t>
      </w:r>
      <w:r w:rsidRPr="00894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дважды  гармонический.</w:t>
      </w:r>
    </w:p>
    <w:p w:rsidR="00A1247A" w:rsidRDefault="00A1247A" w:rsidP="00A12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47A" w:rsidRDefault="00A1247A" w:rsidP="00A12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лады по ступеням и знакам:</w:t>
      </w:r>
    </w:p>
    <w:p w:rsidR="00A1247A" w:rsidRDefault="00A1247A" w:rsidP="00A12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47A" w:rsidRPr="00624DB3" w:rsidRDefault="00A1247A" w:rsidP="00A12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C59190C" wp14:editId="5122907D">
            <wp:extent cx="6610350" cy="7429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47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и разрешить в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B1EFD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16"/>
          <w:szCs w:val="16"/>
        </w:rPr>
        <w:t>6|5</w:t>
      </w:r>
      <w:r>
        <w:rPr>
          <w:rFonts w:ascii="Times New Roman" w:hAnsi="Times New Roman" w:cs="Times New Roman"/>
          <w:sz w:val="24"/>
          <w:szCs w:val="24"/>
        </w:rPr>
        <w:t xml:space="preserve">, большую нону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ступени, два увеличенных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квартсекстаккорда</w:t>
      </w:r>
      <w:proofErr w:type="spellEnd"/>
    </w:p>
    <w:p w:rsidR="00A1247A" w:rsidRDefault="00A1247A" w:rsidP="00A124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47A" w:rsidRPr="0060312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и разрешить в </w:t>
      </w:r>
      <w:r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603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: все уменьшенные квинты,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16"/>
          <w:szCs w:val="16"/>
        </w:rPr>
        <w:t>4|3,</w:t>
      </w:r>
      <w:r w:rsidRPr="00624DB3">
        <w:rPr>
          <w:rFonts w:ascii="Times New Roman" w:hAnsi="Times New Roman" w:cs="Times New Roman"/>
          <w:sz w:val="24"/>
          <w:szCs w:val="24"/>
        </w:rPr>
        <w:t xml:space="preserve"> два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уменьшенных секстаккорда</w:t>
      </w:r>
    </w:p>
    <w:p w:rsidR="00A1247A" w:rsidRPr="0060312A" w:rsidRDefault="00A1247A" w:rsidP="00A124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вверх построить чистую ундециму, разрешить как диатонический интервал в двух-трех тональностях (желательно разными способами), сделать все возможные энгармонические замены, разрешить во всех тональностях. От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D0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вверх построить уменьшенный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квинтсекстаккорд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вниз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AD0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уменьшенный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терцквартаккорд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оба аккорда разрешить как главные септаккорды.</w:t>
      </w:r>
    </w:p>
    <w:p w:rsidR="00A1247A" w:rsidRPr="00AD014D" w:rsidRDefault="00A1247A" w:rsidP="00A124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следующие элементы:</w:t>
      </w:r>
    </w:p>
    <w:p w:rsidR="00A1247A" w:rsidRDefault="00A1247A" w:rsidP="00A124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8C277C" wp14:editId="71D39E74">
            <wp:extent cx="6610350" cy="5905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7A" w:rsidRDefault="00A1247A" w:rsidP="00A124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Сгруппировать, переписать в альтовом ключе, сделав транспорт на чистую квинту вниз:</w:t>
      </w:r>
    </w:p>
    <w:p w:rsidR="00A1247A" w:rsidRPr="00A1247A" w:rsidRDefault="00623EE2" w:rsidP="00A1247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38320A" wp14:editId="54E4777B">
            <wp:extent cx="6479540" cy="1344458"/>
            <wp:effectExtent l="0" t="0" r="0" b="825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4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7A" w:rsidRDefault="00A1247A" w:rsidP="00A1247A">
      <w:pPr>
        <w:shd w:val="clear" w:color="auto" w:fill="FFFFFF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7F20B6" w:rsidRDefault="007F20B6" w:rsidP="007F20B6">
      <w:pPr>
        <w:pStyle w:val="a3"/>
        <w:jc w:val="both"/>
        <w:rPr>
          <w:sz w:val="24"/>
          <w:szCs w:val="24"/>
        </w:rPr>
      </w:pPr>
    </w:p>
    <w:p w:rsidR="007F20B6" w:rsidRPr="00600A8F" w:rsidRDefault="007F20B6" w:rsidP="007F20B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r w:rsidR="00623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16.00 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1)</w:t>
      </w:r>
    </w:p>
    <w:p w:rsidR="007F20B6" w:rsidRPr="00913419" w:rsidRDefault="007F20B6" w:rsidP="007F20B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3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(группа ХД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F20B6" w:rsidRPr="00913419" w:rsidRDefault="007F20B6" w:rsidP="007F20B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3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20B6" w:rsidRDefault="007F20B6" w:rsidP="007F20B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62FDC" w:rsidRDefault="00962FDC"/>
    <w:sectPr w:rsidR="00962FDC" w:rsidSect="007F20B6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0A2"/>
    <w:multiLevelType w:val="hybridMultilevel"/>
    <w:tmpl w:val="D546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96982"/>
    <w:multiLevelType w:val="hybridMultilevel"/>
    <w:tmpl w:val="5BC4C506"/>
    <w:lvl w:ilvl="0" w:tplc="063CB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5A6D2E"/>
    <w:multiLevelType w:val="hybridMultilevel"/>
    <w:tmpl w:val="6A4E9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B6"/>
    <w:rsid w:val="00623EE2"/>
    <w:rsid w:val="007F20B6"/>
    <w:rsid w:val="00962FDC"/>
    <w:rsid w:val="00A1247A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2020-05-01T08:13:00Z</dcterms:created>
  <dcterms:modified xsi:type="dcterms:W3CDTF">2020-05-01T08:48:00Z</dcterms:modified>
</cp:coreProperties>
</file>